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bookmarkStart w:id="0" w:name="_GoBack"/>
      <w:r w:rsidRPr="00A17F6E">
        <w:rPr>
          <w:rFonts w:eastAsia="Times New Roman" w:cs="Times New Roman"/>
          <w:sz w:val="24"/>
          <w:szCs w:val="24"/>
          <w:lang w:eastAsia="ru-RU"/>
        </w:rPr>
        <w:t>-- Платформа: любая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br/>
        <w:t xml:space="preserve">-- 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>Валютные пары: EURUSD, GBPUSD, USDCHF, USDJPY можно и другие трендовые.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  <w:t xml:space="preserve">-- Время работы: - 6.00 GMT 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 xml:space="preserve">( 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>у моего брокера GMT+2 зимнее ) вот я и назвал её 8.00.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  <w:t xml:space="preserve">-- 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Таймфрейм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>: H1 - D1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  <w:t xml:space="preserve">-- Время в 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>индикаторе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который чертит линию, нужно настроить вместо ноля нужно поставить время вашего брокера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>Для того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>,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чтобы зарабатывать на 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необходимо торговое преимущество. То, что будет давать вам статистический перевес в сторону прибыли и уверенность в долгосрочном успехе. Одно из таких преимуществ — ограниченные риски и неограниченная прибыль.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pStyle w:val="1"/>
        <w:rPr>
          <w:rFonts w:asciiTheme="minorHAnsi" w:eastAsia="Times New Roman" w:hAnsiTheme="minorHAnsi"/>
          <w:sz w:val="24"/>
          <w:szCs w:val="24"/>
          <w:lang w:eastAsia="ru-RU"/>
        </w:rPr>
      </w:pPr>
      <w:r w:rsidRPr="000E3CAD">
        <w:rPr>
          <w:rFonts w:asciiTheme="minorHAnsi" w:eastAsia="Times New Roman" w:hAnsiTheme="minorHAnsi"/>
          <w:sz w:val="24"/>
          <w:szCs w:val="24"/>
          <w:lang w:eastAsia="ru-RU"/>
        </w:rPr>
        <w:t xml:space="preserve">Цель стратегии </w:t>
      </w:r>
    </w:p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 xml:space="preserve">Наша цель как 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трейдеров — захватить движение, захватить тренд, чуть раньше других игроков. И быть в тренде как можно дольше.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  <w:t>Перед тем как мы тренд поймаем, нам нужно выяснить его направление, чтобы не торговать против тренда.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 xml:space="preserve">Итак, в определенное время, в 06:00 по времени Гринвича (время по 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гринвичу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можно посмотреть тут) мы определяем ценовую линию, которая будет служить нам точкой отсчета, точкой открытия дня. Выше этой линии мы будем только покупать, ниже — только продавать. Именно в это время чаще всего зарождаются движения, которые будут доминировать в течени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>и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дня. Поэтому, при нахождении цены выше данной линии, можно 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>сказать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что есть предпосылки к тренду вверх, ниже — к тренду вниз.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>Начиная с 6:00 GMT мы следим за рынком, за часовым графиком, и ждем появления «внутреннего бара». Как только внутренний бар образовался, смотрим, где сейчас находится цена по отношению к нашей «линии открытия дня», проведенной в 6:00 GMT.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  <w:t>Если цена ниже — будем торговать на пробой внутреннего бара вниз, если выше — на пробой внутреннего бара вверх.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 xml:space="preserve">Мы торгуем пробой границ самого внутреннего бара (маленькой свечи). Если цена выше цены в 6:00 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gmt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>, — покупаем, если ниже — продаем. С помощью отложенных ордеров.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  <w:t>Стоп-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у нас будет </w:t>
      </w:r>
      <w:proofErr w:type="spellStart"/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>будет</w:t>
      </w:r>
      <w:proofErr w:type="spellEnd"/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за противоположным концом внутреннего бара. Сигналы на вход ищем только 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>в первые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9 часов после 6:00 GMT.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>Входим в рынок мы тремя ордерами — A, B и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 xml:space="preserve"> С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одинакового объема. Ордера A и B выставляем с 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>-профитом равным стоп-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лоссу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>, а ордер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 xml:space="preserve"> С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— без 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>-профита.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  <w:t>Его мы будем держать в рынке, вплоть до смены тренда. Ордер A нам приносит профит, ордер B покрывает возможный стоп-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по ордеру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 xml:space="preserve"> С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>, а ордер С — источник потенциально большой прибыли.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>Стоп-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по ордеру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 xml:space="preserve"> С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мы будем переносить по тренду, вслед за простой скользящей средней с периодом 20. Т.е. с каждой свечой переносим стоп-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сделки все ближе и ближе к текущей цене на уровне скользящей. 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>Если цена двигается в нашу сторону стоп-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двигается вслед за ней, если в противоположную — стоп-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остается на месте.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  <w:proofErr w:type="gramEnd"/>
    </w:p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>Подобная тактика порой позволяет получить прибыль в 20-30 раз превосходящую стоп.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  <w:t xml:space="preserve">Каждую позицию по данной системе отслеживаем отдельно, независимо от находящихся в рынке </w:t>
      </w:r>
      <w:r w:rsidRPr="00A17F6E">
        <w:rPr>
          <w:rFonts w:eastAsia="Times New Roman" w:cs="Times New Roman"/>
          <w:sz w:val="24"/>
          <w:szCs w:val="24"/>
          <w:lang w:eastAsia="ru-RU"/>
        </w:rPr>
        <w:lastRenderedPageBreak/>
        <w:t>ордеров.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 xml:space="preserve">Еще одно правило стратегии DIBS 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Method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— торговать только 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>пары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которые в движении. Мы кормим лошадь, которая бежит.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pStyle w:val="2"/>
        <w:rPr>
          <w:rFonts w:asciiTheme="minorHAnsi" w:eastAsia="Times New Roman" w:hAnsiTheme="minorHAnsi"/>
          <w:sz w:val="24"/>
          <w:szCs w:val="24"/>
          <w:lang w:eastAsia="ru-RU"/>
        </w:rPr>
      </w:pPr>
      <w:r w:rsidRPr="000E3CAD">
        <w:rPr>
          <w:rFonts w:asciiTheme="minorHAnsi" w:eastAsia="Times New Roman" w:hAnsiTheme="minorHAnsi"/>
          <w:sz w:val="24"/>
          <w:szCs w:val="24"/>
          <w:lang w:eastAsia="ru-RU"/>
        </w:rPr>
        <w:t>Как это делается? Очень просто.</w:t>
      </w:r>
      <w:r w:rsidRPr="000E3CAD">
        <w:rPr>
          <w:rFonts w:asciiTheme="minorHAnsi" w:eastAsia="Times New Roman" w:hAnsiTheme="minorHAnsi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 xml:space="preserve">Открываем дневной (D1) график и наносим на него 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>скользящую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с периодом 20. Цена должна быть выше или ниже скользящей, но не находится на самой линии. Также скользящая должна иметь наклон. Чтобы не было уравновешенности текущей 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t>цены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 xml:space="preserve"> и были предпосылки к возможному движению (в какую сторону — неважно).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pStyle w:val="3"/>
        <w:rPr>
          <w:rFonts w:asciiTheme="minorHAnsi" w:eastAsia="Times New Roman" w:hAnsiTheme="minorHAnsi"/>
          <w:sz w:val="24"/>
          <w:szCs w:val="24"/>
          <w:lang w:eastAsia="ru-RU"/>
        </w:rPr>
      </w:pPr>
      <w:proofErr w:type="gramStart"/>
      <w:r w:rsidRPr="000E3CAD">
        <w:rPr>
          <w:rFonts w:asciiTheme="minorHAnsi" w:eastAsia="Times New Roman" w:hAnsiTheme="minorHAnsi"/>
          <w:sz w:val="24"/>
          <w:szCs w:val="24"/>
          <w:lang w:eastAsia="ru-RU"/>
        </w:rPr>
        <w:t>Мани-менеджмент</w:t>
      </w:r>
      <w:proofErr w:type="gramEnd"/>
      <w:r w:rsidRPr="000E3CAD">
        <w:rPr>
          <w:rFonts w:asciiTheme="minorHAnsi" w:eastAsia="Times New Roman" w:hAnsiTheme="minorHAnsi"/>
          <w:sz w:val="24"/>
          <w:szCs w:val="24"/>
          <w:lang w:eastAsia="ru-RU"/>
        </w:rPr>
        <w:t xml:space="preserve"> и дополнения:</w:t>
      </w:r>
      <w:r w:rsidRPr="000E3CAD">
        <w:rPr>
          <w:rFonts w:asciiTheme="minorHAnsi" w:eastAsia="Times New Roman" w:hAnsiTheme="minorHAnsi"/>
          <w:sz w:val="24"/>
          <w:szCs w:val="24"/>
          <w:lang w:eastAsia="ru-RU"/>
        </w:rPr>
        <w:br/>
      </w:r>
    </w:p>
    <w:p w:rsidR="00A17F6E" w:rsidRPr="000E3CAD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>Следите за риском: т.к. в ТС используется 3 ордера, возможны 3 стоп-</w:t>
      </w:r>
      <w:proofErr w:type="spellStart"/>
      <w:r w:rsidRPr="00A17F6E">
        <w:rPr>
          <w:rFonts w:eastAsia="Times New Roman" w:cs="Times New Roman"/>
          <w:sz w:val="24"/>
          <w:szCs w:val="24"/>
          <w:lang w:eastAsia="ru-RU"/>
        </w:rPr>
        <w:t>лосса</w:t>
      </w:r>
      <w:proofErr w:type="spellEnd"/>
      <w:r w:rsidRPr="00A17F6E">
        <w:rPr>
          <w:rFonts w:eastAsia="Times New Roman" w:cs="Times New Roman"/>
          <w:sz w:val="24"/>
          <w:szCs w:val="24"/>
          <w:lang w:eastAsia="ru-RU"/>
        </w:rPr>
        <w:t>. Риск на один ордер не должен быть выше 0,3% от депозита.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</w:p>
    <w:p w:rsidR="00A17F6E" w:rsidRPr="00A17F6E" w:rsidRDefault="00A17F6E" w:rsidP="00A17F6E">
      <w:pPr>
        <w:spacing w:after="10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A17F6E">
        <w:rPr>
          <w:rFonts w:eastAsia="Times New Roman" w:cs="Times New Roman"/>
          <w:sz w:val="24"/>
          <w:szCs w:val="24"/>
          <w:lang w:eastAsia="ru-RU"/>
        </w:rPr>
        <w:t>Выход новостей игнорируем</w:t>
      </w:r>
      <w:proofErr w:type="gramStart"/>
      <w:r w:rsidRPr="00A17F6E">
        <w:rPr>
          <w:rFonts w:eastAsia="Times New Roman" w:cs="Times New Roman"/>
          <w:sz w:val="24"/>
          <w:szCs w:val="24"/>
          <w:lang w:eastAsia="ru-RU"/>
        </w:rPr>
        <w:br/>
        <w:t>С</w:t>
      </w:r>
      <w:proofErr w:type="gramEnd"/>
      <w:r w:rsidRPr="00A17F6E">
        <w:rPr>
          <w:rFonts w:eastAsia="Times New Roman" w:cs="Times New Roman"/>
          <w:sz w:val="24"/>
          <w:szCs w:val="24"/>
          <w:lang w:eastAsia="ru-RU"/>
        </w:rPr>
        <w:t>ледит за тем, чтобы внутренний бар не был большим, т.к. смысл паттерна (согласие между покупателями и продавцами) теряется.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  <w:t xml:space="preserve">Не забывайте обращать внимание на уровни поддержки / сопротивления. </w:t>
      </w:r>
    </w:p>
    <w:p w:rsidR="00A17F6E" w:rsidRPr="00A17F6E" w:rsidRDefault="00A17F6E" w:rsidP="00A17F6E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0E3CAD">
        <w:rPr>
          <w:rFonts w:eastAsia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 wp14:anchorId="7520CD94" wp14:editId="067B9D28">
            <wp:extent cx="6855338" cy="3270250"/>
            <wp:effectExtent l="0" t="0" r="3175" b="6350"/>
            <wp:docPr id="4" name="Рисунок 4" descr="Нажмите на изображение для увеличения&#10;Название: РАБОТАЕМ.png&#10;Просмотров: 14&#10;Размер: 33.3 КБ&#10;ID: 108819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ажмите на изображение для увеличения&#10;Название: РАБОТАЕМ.png&#10;Просмотров: 14&#10;Размер: 33.3 КБ&#10;ID: 1088198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5338" cy="327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7F6E">
        <w:rPr>
          <w:rFonts w:eastAsia="Times New Roman" w:cs="Times New Roman"/>
          <w:sz w:val="24"/>
          <w:szCs w:val="24"/>
          <w:lang w:eastAsia="ru-RU"/>
        </w:rPr>
        <w:t> 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  <w:r w:rsidRPr="000E3CAD">
        <w:rPr>
          <w:rFonts w:eastAsia="Times New Roman" w:cs="Times New Roman"/>
          <w:noProof/>
          <w:color w:val="0000FF"/>
          <w:sz w:val="24"/>
          <w:szCs w:val="24"/>
          <w:lang w:eastAsia="ru-RU"/>
        </w:rPr>
        <w:lastRenderedPageBreak/>
        <w:drawing>
          <wp:inline distT="0" distB="0" distL="0" distR="0" wp14:anchorId="4F48BAB5" wp14:editId="342F8DEB">
            <wp:extent cx="6868649" cy="3276600"/>
            <wp:effectExtent l="0" t="0" r="8890" b="0"/>
            <wp:docPr id="3" name="Рисунок 3" descr="Нажмите на изображение для увеличения&#10;Название: НЕ РАБОТАЕМ.png&#10;Просмотров: 7&#10;Размер: 26.7 КБ&#10;ID: 1088199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Нажмите на изображение для увеличения&#10;Название: НЕ РАБОТАЕМ.png&#10;Просмотров: 7&#10;Размер: 26.7 КБ&#10;ID: 1088199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8649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7F6E">
        <w:rPr>
          <w:rFonts w:eastAsia="Times New Roman" w:cs="Times New Roman"/>
          <w:sz w:val="24"/>
          <w:szCs w:val="24"/>
          <w:lang w:eastAsia="ru-RU"/>
        </w:rPr>
        <w:t> </w:t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  <w:r w:rsidRPr="00A17F6E">
        <w:rPr>
          <w:rFonts w:eastAsia="Times New Roman" w:cs="Times New Roman"/>
          <w:sz w:val="24"/>
          <w:szCs w:val="24"/>
          <w:lang w:eastAsia="ru-RU"/>
        </w:rPr>
        <w:br/>
      </w:r>
      <w:r w:rsidRPr="000E3CAD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F6433E2" wp14:editId="622731D4">
            <wp:extent cx="7429500" cy="5016500"/>
            <wp:effectExtent l="0" t="0" r="0" b="0"/>
            <wp:docPr id="1" name="Рисунок 1" descr="https://www.forexdengi.com/attachment.php?s=f1c7974e485e863baff5aa363873d872&amp;attachmentid=1088197&amp;stc=1&amp;d=14493844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forexdengi.com/attachment.php?s=f1c7974e485e863baff5aa363873d872&amp;attachmentid=1088197&amp;stc=1&amp;d=1449384457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09" b="5498"/>
                    <a:stretch/>
                  </pic:blipFill>
                  <pic:spPr bwMode="auto">
                    <a:xfrm>
                      <a:off x="0" y="0"/>
                      <a:ext cx="7429500" cy="501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17F6E">
        <w:rPr>
          <w:rFonts w:eastAsia="Times New Roman" w:cs="Times New Roman"/>
          <w:sz w:val="24"/>
          <w:szCs w:val="24"/>
          <w:lang w:eastAsia="ru-RU"/>
        </w:rPr>
        <w:t xml:space="preserve">  </w:t>
      </w:r>
    </w:p>
    <w:p w:rsidR="000E3CAD" w:rsidRPr="000E3CAD" w:rsidRDefault="000E3CAD">
      <w:pPr>
        <w:rPr>
          <w:sz w:val="24"/>
          <w:szCs w:val="24"/>
        </w:rPr>
      </w:pPr>
    </w:p>
    <w:p w:rsidR="000E3CAD" w:rsidRPr="000E3CAD" w:rsidRDefault="000E3CAD" w:rsidP="000E3CAD">
      <w:pPr>
        <w:pStyle w:val="a6"/>
        <w:contextualSpacing/>
        <w:jc w:val="center"/>
        <w:rPr>
          <w:rFonts w:asciiTheme="minorHAnsi" w:hAnsiTheme="minorHAnsi"/>
        </w:rPr>
      </w:pPr>
      <w:r w:rsidRPr="000E3CAD">
        <w:rPr>
          <w:rFonts w:asciiTheme="minorHAnsi" w:hAnsiTheme="minorHAnsi"/>
        </w:rPr>
        <w:tab/>
      </w:r>
      <w:r w:rsidRPr="000E3CAD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10" w:history="1">
        <w:r w:rsidRPr="000E3CAD">
          <w:rPr>
            <w:rStyle w:val="a5"/>
            <w:rFonts w:asciiTheme="minorHAnsi" w:hAnsiTheme="minorHAnsi"/>
          </w:rPr>
          <w:t>InfoFx.ru</w:t>
        </w:r>
      </w:hyperlink>
    </w:p>
    <w:bookmarkEnd w:id="0"/>
    <w:p w:rsidR="00964E71" w:rsidRPr="000E3CAD" w:rsidRDefault="00964E71" w:rsidP="000E3CAD">
      <w:pPr>
        <w:tabs>
          <w:tab w:val="left" w:pos="1890"/>
        </w:tabs>
        <w:rPr>
          <w:sz w:val="24"/>
          <w:szCs w:val="24"/>
        </w:rPr>
      </w:pPr>
    </w:p>
    <w:sectPr w:rsidR="00964E71" w:rsidRPr="000E3CAD" w:rsidSect="00A17F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B1E"/>
    <w:rsid w:val="000E3CAD"/>
    <w:rsid w:val="007E6B1E"/>
    <w:rsid w:val="00964E71"/>
    <w:rsid w:val="00A1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7F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7F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17F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F6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17F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17F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17F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semiHidden/>
    <w:unhideWhenUsed/>
    <w:rsid w:val="000E3CA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E3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17F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7F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17F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F6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17F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17F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17F6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5">
    <w:name w:val="Hyperlink"/>
    <w:basedOn w:val="a0"/>
    <w:uiPriority w:val="99"/>
    <w:semiHidden/>
    <w:unhideWhenUsed/>
    <w:rsid w:val="000E3CA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E3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4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2367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34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s://www.forexdengi.com/attachment.php?s=f1c7974e485e863baff5aa363873d872&amp;attachmentid=1088199&amp;d=1449384547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s://www.forexdengi.com/attachment.php?s=f1c7974e485e863baff5aa363873d872&amp;attachmentid=1088198&amp;d=1449384500" TargetMode="External"/><Relationship Id="rId10" Type="http://schemas.openxmlformats.org/officeDocument/2006/relationships/hyperlink" Target="http://infofx.ru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2017-03-18T17:06:00Z</dcterms:created>
  <dcterms:modified xsi:type="dcterms:W3CDTF">2017-03-18T17:09:00Z</dcterms:modified>
</cp:coreProperties>
</file>